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tblPr>
      <w:tblGrid>
        <w:gridCol w:w="2043"/>
        <w:gridCol w:w="1609"/>
        <w:gridCol w:w="4820"/>
        <w:gridCol w:w="2210"/>
      </w:tblGrid>
      <w:tr w:rsidR="007F4480" w:rsidRPr="00322E6E" w:rsidTr="001A55AA">
        <w:tc>
          <w:tcPr>
            <w:tcW w:w="2043" w:type="dxa"/>
            <w:tcBorders>
              <w:bottom w:val="single" w:sz="12" w:space="0" w:color="943634" w:themeColor="accent2" w:themeShade="BF"/>
            </w:tcBorders>
            <w:shd w:val="clear" w:color="auto" w:fill="FFFFFF" w:themeFill="background1"/>
            <w:vAlign w:val="center"/>
          </w:tcPr>
          <w:p w:rsidR="00322E6E" w:rsidRPr="001A55AA" w:rsidRDefault="00322E6E" w:rsidP="00322E6E">
            <w:pPr>
              <w:autoSpaceDE w:val="0"/>
              <w:autoSpaceDN w:val="0"/>
              <w:adjustRightInd w:val="0"/>
              <w:jc w:val="center"/>
              <w:rPr>
                <w:rFonts w:ascii="GillSans" w:hAnsi="GillSans" w:cs="GillSans"/>
                <w:b/>
                <w:sz w:val="24"/>
                <w:szCs w:val="24"/>
              </w:rPr>
            </w:pPr>
            <w:r w:rsidRPr="001A55AA">
              <w:rPr>
                <w:rFonts w:ascii="GillSans" w:hAnsi="GillSans" w:cs="GillSans"/>
                <w:b/>
                <w:sz w:val="24"/>
                <w:szCs w:val="24"/>
              </w:rPr>
              <w:t>Comprehension</w:t>
            </w:r>
          </w:p>
          <w:p w:rsidR="00322E6E" w:rsidRPr="001A55AA" w:rsidRDefault="00322E6E" w:rsidP="00322E6E">
            <w:pPr>
              <w:jc w:val="center"/>
              <w:rPr>
                <w:b/>
                <w:sz w:val="24"/>
                <w:szCs w:val="24"/>
              </w:rPr>
            </w:pPr>
            <w:r w:rsidRPr="001A55AA">
              <w:rPr>
                <w:rFonts w:ascii="GillSans" w:hAnsi="GillSans" w:cs="GillSans"/>
                <w:b/>
                <w:sz w:val="24"/>
                <w:szCs w:val="24"/>
              </w:rPr>
              <w:t>strategy</w:t>
            </w:r>
          </w:p>
        </w:tc>
        <w:tc>
          <w:tcPr>
            <w:tcW w:w="1609" w:type="dxa"/>
            <w:tcBorders>
              <w:bottom w:val="single" w:sz="12" w:space="0" w:color="943634" w:themeColor="accent2" w:themeShade="BF"/>
            </w:tcBorders>
            <w:shd w:val="clear" w:color="auto" w:fill="FFFFFF" w:themeFill="background1"/>
            <w:vAlign w:val="center"/>
          </w:tcPr>
          <w:p w:rsidR="00322E6E" w:rsidRPr="001A55AA" w:rsidRDefault="00322E6E" w:rsidP="00322E6E">
            <w:pPr>
              <w:jc w:val="center"/>
              <w:rPr>
                <w:b/>
                <w:sz w:val="24"/>
                <w:szCs w:val="24"/>
              </w:rPr>
            </w:pPr>
            <w:r w:rsidRPr="001A55AA">
              <w:rPr>
                <w:rFonts w:ascii="GillSans" w:hAnsi="GillSans" w:cs="GillSans"/>
                <w:b/>
                <w:sz w:val="24"/>
                <w:szCs w:val="24"/>
              </w:rPr>
              <w:t>Teaching ideas</w:t>
            </w:r>
          </w:p>
        </w:tc>
        <w:tc>
          <w:tcPr>
            <w:tcW w:w="4820" w:type="dxa"/>
            <w:tcBorders>
              <w:bottom w:val="single" w:sz="12" w:space="0" w:color="943634" w:themeColor="accent2" w:themeShade="BF"/>
            </w:tcBorders>
            <w:shd w:val="clear" w:color="auto" w:fill="FFFFFF" w:themeFill="background1"/>
            <w:vAlign w:val="center"/>
          </w:tcPr>
          <w:p w:rsidR="00322E6E" w:rsidRPr="001A55AA" w:rsidRDefault="00322E6E" w:rsidP="00322E6E">
            <w:pPr>
              <w:jc w:val="center"/>
              <w:rPr>
                <w:b/>
                <w:sz w:val="24"/>
                <w:szCs w:val="24"/>
              </w:rPr>
            </w:pPr>
            <w:r w:rsidRPr="001A55AA">
              <w:rPr>
                <w:rFonts w:ascii="GillSans" w:hAnsi="GillSans" w:cs="GillSans"/>
                <w:b/>
                <w:sz w:val="24"/>
                <w:szCs w:val="24"/>
              </w:rPr>
              <w:t>Description</w:t>
            </w:r>
          </w:p>
        </w:tc>
        <w:tc>
          <w:tcPr>
            <w:tcW w:w="2210" w:type="dxa"/>
            <w:tcBorders>
              <w:bottom w:val="single" w:sz="12" w:space="0" w:color="943634" w:themeColor="accent2" w:themeShade="BF"/>
            </w:tcBorders>
            <w:shd w:val="clear" w:color="auto" w:fill="FFFFFF" w:themeFill="background1"/>
            <w:vAlign w:val="center"/>
          </w:tcPr>
          <w:p w:rsidR="00322E6E" w:rsidRPr="001A55AA" w:rsidRDefault="00322E6E" w:rsidP="00322E6E">
            <w:pPr>
              <w:jc w:val="center"/>
              <w:rPr>
                <w:b/>
                <w:sz w:val="24"/>
                <w:szCs w:val="24"/>
              </w:rPr>
            </w:pPr>
            <w:r w:rsidRPr="001A55AA">
              <w:rPr>
                <w:rFonts w:ascii="GillSans-Italic" w:hAnsi="GillSans-Italic" w:cs="GillSans-Italic"/>
                <w:b/>
                <w:i/>
                <w:iCs/>
                <w:sz w:val="24"/>
                <w:szCs w:val="24"/>
              </w:rPr>
              <w:t>Reference</w:t>
            </w:r>
          </w:p>
        </w:tc>
      </w:tr>
      <w:tr w:rsidR="007F4480"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D99594" w:themeFill="accent2" w:themeFillTint="99"/>
            <w:vAlign w:val="center"/>
          </w:tcPr>
          <w:p w:rsidR="00322E6E" w:rsidRPr="001A55AA" w:rsidRDefault="007F4480" w:rsidP="00322E6E">
            <w:pPr>
              <w:jc w:val="center"/>
              <w:rPr>
                <w:sz w:val="24"/>
                <w:szCs w:val="24"/>
              </w:rPr>
            </w:pPr>
            <w:r w:rsidRPr="001A55AA">
              <w:rPr>
                <w:rFonts w:ascii="GillSans-Light" w:hAnsi="GillSans-Light" w:cs="GillSans-Light"/>
                <w:sz w:val="24"/>
                <w:szCs w:val="24"/>
              </w:rPr>
              <w:t>Summarising</w:t>
            </w: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D07">
            <w:pPr>
              <w:jc w:val="center"/>
              <w:rPr>
                <w:sz w:val="24"/>
                <w:szCs w:val="24"/>
              </w:rPr>
            </w:pPr>
            <w:r w:rsidRPr="001A55AA">
              <w:rPr>
                <w:rFonts w:ascii="GillSans-Light" w:hAnsi="GillSans-Light" w:cs="GillSans-Light"/>
                <w:sz w:val="24"/>
                <w:szCs w:val="24"/>
              </w:rPr>
              <w:t>V.I.P</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Cut up sticky notes into strips. As student read, they</w:t>
            </w:r>
          </w:p>
          <w:p w:rsidR="007F4480"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can tear off a strip to mark points in the text that are</w:t>
            </w:r>
          </w:p>
          <w:p w:rsidR="00322E6E"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V.I.P. (Very Important</w:t>
            </w:r>
            <w:r w:rsidR="007F4D07" w:rsidRPr="001A55AA">
              <w:rPr>
                <w:rFonts w:ascii="GillSans-Light" w:hAnsi="GillSans-Light" w:cs="GillSans-Light"/>
                <w:sz w:val="24"/>
                <w:szCs w:val="24"/>
              </w:rPr>
              <w:t xml:space="preserve"> Points) for them. As a posting </w:t>
            </w:r>
            <w:r w:rsidRPr="001A55AA">
              <w:rPr>
                <w:rFonts w:ascii="GillSans-Light" w:hAnsi="GillSans-Light" w:cs="GillSans-Light"/>
                <w:sz w:val="24"/>
                <w:szCs w:val="24"/>
              </w:rPr>
              <w:t xml:space="preserve">activity, students </w:t>
            </w:r>
            <w:r w:rsidR="007F4D07" w:rsidRPr="001A55AA">
              <w:rPr>
                <w:rFonts w:ascii="GillSans-Light" w:hAnsi="GillSans-Light" w:cs="GillSans-Light"/>
                <w:sz w:val="24"/>
                <w:szCs w:val="24"/>
              </w:rPr>
              <w:t xml:space="preserve">can compare points and tell why </w:t>
            </w:r>
            <w:r w:rsidRPr="001A55AA">
              <w:rPr>
                <w:rFonts w:ascii="GillSans-Light" w:hAnsi="GillSans-Light" w:cs="GillSans-Light"/>
                <w:sz w:val="24"/>
                <w:szCs w:val="24"/>
              </w:rPr>
              <w:t>they chose to mark each one.</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480" w:rsidP="007F4480">
            <w:pPr>
              <w:rPr>
                <w:sz w:val="24"/>
                <w:szCs w:val="24"/>
              </w:rPr>
            </w:pPr>
            <w:r w:rsidRPr="001A55AA">
              <w:rPr>
                <w:rFonts w:ascii="GillSans-Light" w:hAnsi="GillSans-Light" w:cs="GillSans-Light"/>
                <w:sz w:val="24"/>
                <w:szCs w:val="24"/>
              </w:rPr>
              <w:t>(pp. 44–45)</w:t>
            </w:r>
          </w:p>
        </w:tc>
      </w:tr>
      <w:tr w:rsidR="007F4D07"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322E6E">
            <w:pP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D07">
            <w:pPr>
              <w:jc w:val="center"/>
              <w:rPr>
                <w:sz w:val="24"/>
                <w:szCs w:val="24"/>
              </w:rPr>
            </w:pPr>
            <w:r w:rsidRPr="001A55AA">
              <w:rPr>
                <w:rFonts w:ascii="GillSans-Light" w:hAnsi="GillSans-Light" w:cs="GillSans-Light"/>
                <w:sz w:val="24"/>
                <w:szCs w:val="24"/>
              </w:rPr>
              <w:t>Partner Retelling</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After reading a stor</w:t>
            </w:r>
            <w:r w:rsidR="007F4D07" w:rsidRPr="001A55AA">
              <w:rPr>
                <w:rFonts w:ascii="GillSans-Light" w:hAnsi="GillSans-Light" w:cs="GillSans-Light"/>
                <w:sz w:val="24"/>
                <w:szCs w:val="24"/>
              </w:rPr>
              <w:t xml:space="preserve">y to students, divide the class </w:t>
            </w:r>
            <w:r w:rsidRPr="001A55AA">
              <w:rPr>
                <w:rFonts w:ascii="GillSans-Light" w:hAnsi="GillSans-Light" w:cs="GillSans-Light"/>
                <w:sz w:val="24"/>
                <w:szCs w:val="24"/>
              </w:rPr>
              <w:t>in half so there is a st</w:t>
            </w:r>
            <w:r w:rsidR="007F4D07" w:rsidRPr="001A55AA">
              <w:rPr>
                <w:rFonts w:ascii="GillSans-Light" w:hAnsi="GillSans-Light" w:cs="GillSans-Light"/>
                <w:sz w:val="24"/>
                <w:szCs w:val="24"/>
              </w:rPr>
              <w:t xml:space="preserve">oryteller group and a listening </w:t>
            </w:r>
            <w:r w:rsidRPr="001A55AA">
              <w:rPr>
                <w:rFonts w:ascii="GillSans-Light" w:hAnsi="GillSans-Light" w:cs="GillSans-Light"/>
                <w:sz w:val="24"/>
                <w:szCs w:val="24"/>
              </w:rPr>
              <w:t>group. The storytell</w:t>
            </w:r>
            <w:r w:rsidR="007F4D07" w:rsidRPr="001A55AA">
              <w:rPr>
                <w:rFonts w:ascii="GillSans-Light" w:hAnsi="GillSans-Light" w:cs="GillSans-Light"/>
                <w:sz w:val="24"/>
                <w:szCs w:val="24"/>
              </w:rPr>
              <w:t xml:space="preserve">ers work in teams to reread the </w:t>
            </w:r>
            <w:r w:rsidRPr="001A55AA">
              <w:rPr>
                <w:rFonts w:ascii="GillSans-Light" w:hAnsi="GillSans-Light" w:cs="GillSans-Light"/>
                <w:sz w:val="24"/>
                <w:szCs w:val="24"/>
              </w:rPr>
              <w:t>selection and remind</w:t>
            </w:r>
            <w:r w:rsidR="007F4D07" w:rsidRPr="001A55AA">
              <w:rPr>
                <w:rFonts w:ascii="GillSans-Light" w:hAnsi="GillSans-Light" w:cs="GillSans-Light"/>
                <w:sz w:val="24"/>
                <w:szCs w:val="24"/>
              </w:rPr>
              <w:t xml:space="preserve"> each other of the focus points </w:t>
            </w:r>
            <w:r w:rsidRPr="001A55AA">
              <w:rPr>
                <w:rFonts w:ascii="GillSans-Light" w:hAnsi="GillSans-Light" w:cs="GillSans-Light"/>
                <w:sz w:val="24"/>
                <w:szCs w:val="24"/>
              </w:rPr>
              <w:t>for retell. The liste</w:t>
            </w:r>
            <w:r w:rsidR="007F4D07" w:rsidRPr="001A55AA">
              <w:rPr>
                <w:rFonts w:ascii="GillSans-Light" w:hAnsi="GillSans-Light" w:cs="GillSans-Light"/>
                <w:sz w:val="24"/>
                <w:szCs w:val="24"/>
              </w:rPr>
              <w:t xml:space="preserve">ners also reread and reflect on </w:t>
            </w:r>
            <w:r w:rsidRPr="001A55AA">
              <w:rPr>
                <w:rFonts w:ascii="GillSans-Light" w:hAnsi="GillSans-Light" w:cs="GillSans-Light"/>
                <w:sz w:val="24"/>
                <w:szCs w:val="24"/>
              </w:rPr>
              <w:t>what the most imp</w:t>
            </w:r>
            <w:r w:rsidR="007F4D07" w:rsidRPr="001A55AA">
              <w:rPr>
                <w:rFonts w:ascii="GillSans-Light" w:hAnsi="GillSans-Light" w:cs="GillSans-Light"/>
                <w:sz w:val="24"/>
                <w:szCs w:val="24"/>
              </w:rPr>
              <w:t xml:space="preserve">ortant parts of the story were. </w:t>
            </w:r>
            <w:r w:rsidRPr="001A55AA">
              <w:rPr>
                <w:rFonts w:ascii="GillSans-Light" w:hAnsi="GillSans-Light" w:cs="GillSans-Light"/>
                <w:sz w:val="24"/>
                <w:szCs w:val="24"/>
              </w:rPr>
              <w:t>Each storyteller pairs u</w:t>
            </w:r>
            <w:r w:rsidR="007F4D07" w:rsidRPr="001A55AA">
              <w:rPr>
                <w:rFonts w:ascii="GillSans-Light" w:hAnsi="GillSans-Light" w:cs="GillSans-Light"/>
                <w:sz w:val="24"/>
                <w:szCs w:val="24"/>
              </w:rPr>
              <w:t xml:space="preserve">p with a listener to retell the </w:t>
            </w:r>
            <w:r w:rsidRPr="001A55AA">
              <w:rPr>
                <w:rFonts w:ascii="GillSans-Light" w:hAnsi="GillSans-Light" w:cs="GillSans-Light"/>
                <w:sz w:val="24"/>
                <w:szCs w:val="24"/>
              </w:rPr>
              <w:t>story.</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480" w:rsidP="007F4480">
            <w:pPr>
              <w:rPr>
                <w:sz w:val="24"/>
                <w:szCs w:val="24"/>
              </w:rPr>
            </w:pPr>
            <w:r w:rsidRPr="001A55AA">
              <w:rPr>
                <w:rFonts w:ascii="GillSans-Light" w:hAnsi="GillSans-Light" w:cs="GillSans-Light"/>
                <w:sz w:val="24"/>
                <w:szCs w:val="24"/>
              </w:rPr>
              <w:t>(pp. 84–85)</w:t>
            </w:r>
          </w:p>
        </w:tc>
      </w:tr>
      <w:tr w:rsidR="007F4D07"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322E6E">
            <w:pP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D07">
            <w:pPr>
              <w:jc w:val="center"/>
              <w:rPr>
                <w:sz w:val="24"/>
                <w:szCs w:val="24"/>
              </w:rPr>
            </w:pPr>
            <w:r w:rsidRPr="001A55AA">
              <w:rPr>
                <w:rFonts w:ascii="GillSans-Light" w:hAnsi="GillSans-Light" w:cs="GillSans-Light"/>
                <w:sz w:val="24"/>
                <w:szCs w:val="24"/>
              </w:rPr>
              <w:t>Team Retelling</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 xml:space="preserve">Teams of 3 or 4 </w:t>
            </w:r>
            <w:r w:rsidR="007F4D07" w:rsidRPr="001A55AA">
              <w:rPr>
                <w:rFonts w:ascii="GillSans-Light" w:hAnsi="GillSans-Light" w:cs="GillSans-Light"/>
                <w:sz w:val="24"/>
                <w:szCs w:val="24"/>
              </w:rPr>
              <w:t xml:space="preserve">students reflect and talk about </w:t>
            </w:r>
            <w:r w:rsidRPr="001A55AA">
              <w:rPr>
                <w:rFonts w:ascii="GillSans-Light" w:hAnsi="GillSans-Light" w:cs="GillSans-Light"/>
                <w:sz w:val="24"/>
                <w:szCs w:val="24"/>
              </w:rPr>
              <w:t>pertinent aspects of the story structure. Teams take</w:t>
            </w:r>
            <w:r w:rsidR="007F4D07" w:rsidRPr="001A55AA">
              <w:rPr>
                <w:rFonts w:ascii="GillSans-Light" w:hAnsi="GillSans-Light" w:cs="GillSans-Light"/>
                <w:sz w:val="24"/>
                <w:szCs w:val="24"/>
              </w:rPr>
              <w:t xml:space="preserve"> </w:t>
            </w:r>
            <w:r w:rsidRPr="001A55AA">
              <w:rPr>
                <w:rFonts w:ascii="GillSans-Light" w:hAnsi="GillSans-Light" w:cs="GillSans-Light"/>
                <w:sz w:val="24"/>
                <w:szCs w:val="24"/>
              </w:rPr>
              <w:t>turns retelling the</w:t>
            </w:r>
            <w:r w:rsidR="007F4D07" w:rsidRPr="001A55AA">
              <w:rPr>
                <w:rFonts w:ascii="GillSans-Light" w:hAnsi="GillSans-Light" w:cs="GillSans-Light"/>
                <w:sz w:val="24"/>
                <w:szCs w:val="24"/>
              </w:rPr>
              <w:t>ir stories with emphasis on the targ</w:t>
            </w:r>
            <w:r w:rsidRPr="001A55AA">
              <w:rPr>
                <w:rFonts w:ascii="GillSans-Light" w:hAnsi="GillSans-Light" w:cs="GillSans-Light"/>
                <w:sz w:val="24"/>
                <w:szCs w:val="24"/>
              </w:rPr>
              <w:t xml:space="preserve">eted elements </w:t>
            </w:r>
            <w:r w:rsidR="007F4D07" w:rsidRPr="001A55AA">
              <w:rPr>
                <w:rFonts w:ascii="GillSans-Light" w:hAnsi="GillSans-Light" w:cs="GillSans-Light"/>
                <w:sz w:val="24"/>
                <w:szCs w:val="24"/>
              </w:rPr>
              <w:t xml:space="preserve">of the story design. Use visual </w:t>
            </w:r>
            <w:r w:rsidRPr="001A55AA">
              <w:rPr>
                <w:rFonts w:ascii="GillSans-Light" w:hAnsi="GillSans-Light" w:cs="GillSans-Light"/>
                <w:sz w:val="24"/>
                <w:szCs w:val="24"/>
              </w:rPr>
              <w:t>cards to support teams.</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480" w:rsidP="007F4480">
            <w:pPr>
              <w:rPr>
                <w:sz w:val="24"/>
                <w:szCs w:val="24"/>
              </w:rPr>
            </w:pPr>
            <w:r w:rsidRPr="001A55AA">
              <w:rPr>
                <w:rFonts w:ascii="GillSans-Light" w:hAnsi="GillSans-Light" w:cs="GillSans-Light"/>
                <w:sz w:val="24"/>
                <w:szCs w:val="24"/>
              </w:rPr>
              <w:t>(pp. 88–89)</w:t>
            </w:r>
          </w:p>
        </w:tc>
      </w:tr>
      <w:tr w:rsidR="00C91955"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322E6E">
            <w:pP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D07">
            <w:pPr>
              <w:autoSpaceDE w:val="0"/>
              <w:autoSpaceDN w:val="0"/>
              <w:adjustRightInd w:val="0"/>
              <w:jc w:val="center"/>
              <w:rPr>
                <w:rFonts w:ascii="GillSans-Light" w:hAnsi="GillSans-Light" w:cs="GillSans-Light"/>
                <w:sz w:val="24"/>
                <w:szCs w:val="24"/>
              </w:rPr>
            </w:pPr>
            <w:r w:rsidRPr="001A55AA">
              <w:rPr>
                <w:rFonts w:ascii="GillSans-Light" w:hAnsi="GillSans-Light" w:cs="GillSans-Light"/>
                <w:sz w:val="24"/>
                <w:szCs w:val="24"/>
              </w:rPr>
              <w:t>Key Word</w:t>
            </w:r>
          </w:p>
          <w:p w:rsidR="00322E6E" w:rsidRPr="001A55AA" w:rsidRDefault="007F4480" w:rsidP="007F4D07">
            <w:pPr>
              <w:jc w:val="center"/>
              <w:rPr>
                <w:sz w:val="24"/>
                <w:szCs w:val="24"/>
              </w:rPr>
            </w:pPr>
            <w:r w:rsidRPr="001A55AA">
              <w:rPr>
                <w:rFonts w:ascii="GillSans-Light" w:hAnsi="GillSans-Light" w:cs="GillSans-Light"/>
                <w:sz w:val="24"/>
                <w:szCs w:val="24"/>
              </w:rPr>
              <w:t>Strategy</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Students select word</w:t>
            </w:r>
            <w:r w:rsidR="007F4D07" w:rsidRPr="001A55AA">
              <w:rPr>
                <w:rFonts w:ascii="GillSans-Light" w:hAnsi="GillSans-Light" w:cs="GillSans-Light"/>
                <w:sz w:val="24"/>
                <w:szCs w:val="24"/>
              </w:rPr>
              <w:t xml:space="preserve">s they believe are important to </w:t>
            </w:r>
            <w:r w:rsidRPr="001A55AA">
              <w:rPr>
                <w:rFonts w:ascii="GillSans-Light" w:hAnsi="GillSans-Light" w:cs="GillSans-Light"/>
                <w:sz w:val="24"/>
                <w:szCs w:val="24"/>
              </w:rPr>
              <w:t>understanding the text. Se</w:t>
            </w:r>
            <w:r w:rsidR="007F4D07" w:rsidRPr="001A55AA">
              <w:rPr>
                <w:rFonts w:ascii="GillSans-Light" w:hAnsi="GillSans-Light" w:cs="GillSans-Light"/>
                <w:sz w:val="24"/>
                <w:szCs w:val="24"/>
              </w:rPr>
              <w:t xml:space="preserve">lected words are written </w:t>
            </w:r>
            <w:r w:rsidRPr="001A55AA">
              <w:rPr>
                <w:rFonts w:ascii="GillSans-Light" w:hAnsi="GillSans-Light" w:cs="GillSans-Light"/>
                <w:sz w:val="24"/>
                <w:szCs w:val="24"/>
              </w:rPr>
              <w:t>on sticky notes and pl</w:t>
            </w:r>
            <w:r w:rsidR="007F4D07" w:rsidRPr="001A55AA">
              <w:rPr>
                <w:rFonts w:ascii="GillSans-Light" w:hAnsi="GillSans-Light" w:cs="GillSans-Light"/>
                <w:sz w:val="24"/>
                <w:szCs w:val="24"/>
              </w:rPr>
              <w:t xml:space="preserve">aced on the page from the text. </w:t>
            </w:r>
            <w:r w:rsidRPr="001A55AA">
              <w:rPr>
                <w:rFonts w:ascii="GillSans-Light" w:hAnsi="GillSans-Light" w:cs="GillSans-Light"/>
                <w:sz w:val="24"/>
                <w:szCs w:val="24"/>
              </w:rPr>
              <w:t>After reading, ar</w:t>
            </w:r>
            <w:r w:rsidR="007F4D07" w:rsidRPr="001A55AA">
              <w:rPr>
                <w:rFonts w:ascii="GillSans-Light" w:hAnsi="GillSans-Light" w:cs="GillSans-Light"/>
                <w:sz w:val="24"/>
                <w:szCs w:val="24"/>
              </w:rPr>
              <w:t xml:space="preserve">range the keywords to support a </w:t>
            </w:r>
            <w:r w:rsidRPr="001A55AA">
              <w:rPr>
                <w:rFonts w:ascii="GillSans-Light" w:hAnsi="GillSans-Light" w:cs="GillSans-Light"/>
                <w:sz w:val="24"/>
                <w:szCs w:val="24"/>
              </w:rPr>
              <w:t>cohesive summary. St</w:t>
            </w:r>
            <w:r w:rsidR="007F4D07" w:rsidRPr="001A55AA">
              <w:rPr>
                <w:rFonts w:ascii="GillSans-Light" w:hAnsi="GillSans-Light" w:cs="GillSans-Light"/>
                <w:sz w:val="24"/>
                <w:szCs w:val="24"/>
              </w:rPr>
              <w:t xml:space="preserve">udent then retells or writes to </w:t>
            </w:r>
            <w:r w:rsidRPr="001A55AA">
              <w:rPr>
                <w:rFonts w:ascii="GillSans-Light" w:hAnsi="GillSans-Light" w:cs="GillSans-Light"/>
                <w:sz w:val="24"/>
                <w:szCs w:val="24"/>
              </w:rPr>
              <w:t>summarise.</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480" w:rsidP="007F4480">
            <w:pPr>
              <w:rPr>
                <w:sz w:val="24"/>
                <w:szCs w:val="24"/>
              </w:rPr>
            </w:pPr>
            <w:r w:rsidRPr="001A55AA">
              <w:rPr>
                <w:rFonts w:ascii="GillSans-Light" w:hAnsi="GillSans-Light" w:cs="GillSans-Light"/>
                <w:sz w:val="24"/>
                <w:szCs w:val="24"/>
              </w:rPr>
              <w:t>(pp. 130–133)</w:t>
            </w:r>
          </w:p>
        </w:tc>
      </w:tr>
      <w:tr w:rsidR="00C91955"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vAlign w:val="center"/>
          </w:tcPr>
          <w:p w:rsidR="00322E6E" w:rsidRPr="001A55AA" w:rsidRDefault="00322E6E" w:rsidP="00C91955">
            <w:pPr>
              <w:jc w:val="cente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D07">
            <w:pPr>
              <w:autoSpaceDE w:val="0"/>
              <w:autoSpaceDN w:val="0"/>
              <w:adjustRightInd w:val="0"/>
              <w:jc w:val="center"/>
              <w:rPr>
                <w:rFonts w:ascii="GillSans-Light" w:hAnsi="GillSans-Light" w:cs="GillSans-Light"/>
                <w:sz w:val="24"/>
                <w:szCs w:val="24"/>
              </w:rPr>
            </w:pPr>
            <w:r w:rsidRPr="001A55AA">
              <w:rPr>
                <w:rFonts w:ascii="GillSans-Light" w:hAnsi="GillSans-Light" w:cs="GillSans-Light"/>
                <w:sz w:val="24"/>
                <w:szCs w:val="24"/>
              </w:rPr>
              <w:t>Pass Around</w:t>
            </w:r>
          </w:p>
          <w:p w:rsidR="00322E6E" w:rsidRPr="001A55AA" w:rsidRDefault="007F4480" w:rsidP="007F4D07">
            <w:pPr>
              <w:jc w:val="center"/>
              <w:rPr>
                <w:sz w:val="24"/>
                <w:szCs w:val="24"/>
              </w:rPr>
            </w:pPr>
            <w:r w:rsidRPr="001A55AA">
              <w:rPr>
                <w:rFonts w:ascii="GillSans-Light" w:hAnsi="GillSans-Light" w:cs="GillSans-Light"/>
                <w:sz w:val="24"/>
                <w:szCs w:val="24"/>
              </w:rPr>
              <w:t>Retells</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Students work in teams</w:t>
            </w:r>
            <w:r w:rsidR="007F4D07" w:rsidRPr="001A55AA">
              <w:rPr>
                <w:rFonts w:ascii="GillSans-Light" w:hAnsi="GillSans-Light" w:cs="GillSans-Light"/>
                <w:sz w:val="24"/>
                <w:szCs w:val="24"/>
              </w:rPr>
              <w:t xml:space="preserve"> of three or four. Each student </w:t>
            </w:r>
            <w:r w:rsidRPr="001A55AA">
              <w:rPr>
                <w:rFonts w:ascii="GillSans-Light" w:hAnsi="GillSans-Light" w:cs="GillSans-Light"/>
                <w:sz w:val="24"/>
                <w:szCs w:val="24"/>
              </w:rPr>
              <w:t>is given a piece of pape</w:t>
            </w:r>
            <w:r w:rsidR="007F4D07" w:rsidRPr="001A55AA">
              <w:rPr>
                <w:rFonts w:ascii="GillSans-Light" w:hAnsi="GillSans-Light" w:cs="GillSans-Light"/>
                <w:sz w:val="24"/>
                <w:szCs w:val="24"/>
              </w:rPr>
              <w:t xml:space="preserve">r. At a signal, everyone begins </w:t>
            </w:r>
            <w:r w:rsidRPr="001A55AA">
              <w:rPr>
                <w:rFonts w:ascii="GillSans-Light" w:hAnsi="GillSans-Light" w:cs="GillSans-Light"/>
                <w:sz w:val="24"/>
                <w:szCs w:val="24"/>
              </w:rPr>
              <w:t>writing a retell of the story on their own paper.</w:t>
            </w:r>
          </w:p>
          <w:p w:rsidR="00322E6E" w:rsidRPr="001A55AA" w:rsidRDefault="007F4480" w:rsidP="007F4480">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When a timer rings,</w:t>
            </w:r>
            <w:r w:rsidR="007F4D07" w:rsidRPr="001A55AA">
              <w:rPr>
                <w:rFonts w:ascii="GillSans-Light" w:hAnsi="GillSans-Light" w:cs="GillSans-Light"/>
                <w:sz w:val="24"/>
                <w:szCs w:val="24"/>
              </w:rPr>
              <w:t xml:space="preserve"> each writer passes their paper </w:t>
            </w:r>
            <w:r w:rsidRPr="001A55AA">
              <w:rPr>
                <w:rFonts w:ascii="GillSans-Light" w:hAnsi="GillSans-Light" w:cs="GillSans-Light"/>
                <w:sz w:val="24"/>
                <w:szCs w:val="24"/>
              </w:rPr>
              <w:t xml:space="preserve">to the right. Students need to read what has </w:t>
            </w:r>
            <w:r w:rsidR="007F4D07" w:rsidRPr="001A55AA">
              <w:rPr>
                <w:rFonts w:ascii="GillSans-Light" w:hAnsi="GillSans-Light" w:cs="GillSans-Light"/>
                <w:sz w:val="24"/>
                <w:szCs w:val="24"/>
              </w:rPr>
              <w:t xml:space="preserve">been </w:t>
            </w:r>
            <w:r w:rsidRPr="001A55AA">
              <w:rPr>
                <w:rFonts w:ascii="GillSans-Light" w:hAnsi="GillSans-Light" w:cs="GillSans-Light"/>
                <w:sz w:val="24"/>
                <w:szCs w:val="24"/>
              </w:rPr>
              <w:t>written and cont</w:t>
            </w:r>
            <w:r w:rsidR="007F4D07" w:rsidRPr="001A55AA">
              <w:rPr>
                <w:rFonts w:ascii="GillSans-Light" w:hAnsi="GillSans-Light" w:cs="GillSans-Light"/>
                <w:sz w:val="24"/>
                <w:szCs w:val="24"/>
              </w:rPr>
              <w:t xml:space="preserve">inue the story from that point. </w:t>
            </w:r>
            <w:r w:rsidRPr="001A55AA">
              <w:rPr>
                <w:rFonts w:ascii="GillSans-Light" w:hAnsi="GillSans-Light" w:cs="GillSans-Light"/>
                <w:sz w:val="24"/>
                <w:szCs w:val="24"/>
              </w:rPr>
              <w:t>Continue until paper reaches back to original writer.</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480">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480" w:rsidP="007F4480">
            <w:pPr>
              <w:rPr>
                <w:sz w:val="24"/>
                <w:szCs w:val="24"/>
              </w:rPr>
            </w:pPr>
            <w:r w:rsidRPr="001A55AA">
              <w:rPr>
                <w:rFonts w:ascii="GillSans-Light" w:hAnsi="GillSans-Light" w:cs="GillSans-Light"/>
                <w:sz w:val="24"/>
                <w:szCs w:val="24"/>
              </w:rPr>
              <w:t>(p. 141)</w:t>
            </w:r>
          </w:p>
        </w:tc>
      </w:tr>
      <w:tr w:rsidR="007F4D07"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322E6E">
            <w:pP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480" w:rsidRPr="001A55AA" w:rsidRDefault="007F4480" w:rsidP="007F4D07">
            <w:pPr>
              <w:autoSpaceDE w:val="0"/>
              <w:autoSpaceDN w:val="0"/>
              <w:adjustRightInd w:val="0"/>
              <w:jc w:val="center"/>
              <w:rPr>
                <w:rFonts w:ascii="GillSans-Light" w:hAnsi="GillSans-Light" w:cs="GillSans-Light"/>
                <w:sz w:val="24"/>
                <w:szCs w:val="24"/>
              </w:rPr>
            </w:pPr>
            <w:r w:rsidRPr="001A55AA">
              <w:rPr>
                <w:rFonts w:ascii="GillSans-Light" w:hAnsi="GillSans-Light" w:cs="GillSans-Light"/>
                <w:sz w:val="24"/>
                <w:szCs w:val="24"/>
              </w:rPr>
              <w:t>Weave a Web of</w:t>
            </w:r>
          </w:p>
          <w:p w:rsidR="00322E6E" w:rsidRPr="001A55AA" w:rsidRDefault="007F4480" w:rsidP="007F4D07">
            <w:pPr>
              <w:jc w:val="center"/>
              <w:rPr>
                <w:sz w:val="24"/>
                <w:szCs w:val="24"/>
              </w:rPr>
            </w:pPr>
            <w:r w:rsidRPr="001A55AA">
              <w:rPr>
                <w:rFonts w:ascii="GillSans-Light" w:hAnsi="GillSans-Light" w:cs="GillSans-Light"/>
                <w:sz w:val="24"/>
                <w:szCs w:val="24"/>
              </w:rPr>
              <w:t>Understanding</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322E6E" w:rsidRPr="001A55AA" w:rsidRDefault="007F4D07" w:rsidP="007F4D07">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After reflection on a factual text, gather students in a circle. The first students hold a ball of wool and shares one thing that is remembered about the text. The first student hangs on to the string and the ball is passed across the circle not around. Repeat this process.</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D07" w:rsidRPr="001A55AA" w:rsidRDefault="007F4D07" w:rsidP="007F4D07">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322E6E" w:rsidRPr="001A55AA" w:rsidRDefault="007F4D07" w:rsidP="007F4D07">
            <w:pPr>
              <w:rPr>
                <w:sz w:val="24"/>
                <w:szCs w:val="24"/>
              </w:rPr>
            </w:pPr>
            <w:r w:rsidRPr="001A55AA">
              <w:rPr>
                <w:rFonts w:ascii="GillSans-Light" w:hAnsi="GillSans-Light" w:cs="GillSans-Light"/>
                <w:sz w:val="24"/>
                <w:szCs w:val="24"/>
              </w:rPr>
              <w:t>(p. 178)</w:t>
            </w:r>
          </w:p>
        </w:tc>
      </w:tr>
      <w:tr w:rsidR="007F4D07" w:rsidRPr="00322E6E" w:rsidTr="001A55AA">
        <w:tc>
          <w:tcPr>
            <w:tcW w:w="2043"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D07" w:rsidRPr="001A55AA" w:rsidRDefault="007F4D07">
            <w:pPr>
              <w:rPr>
                <w:sz w:val="24"/>
                <w:szCs w:val="24"/>
              </w:rPr>
            </w:pPr>
          </w:p>
        </w:tc>
        <w:tc>
          <w:tcPr>
            <w:tcW w:w="1609"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D07" w:rsidRPr="001A55AA" w:rsidRDefault="007F4D07" w:rsidP="007F4D07">
            <w:pPr>
              <w:autoSpaceDE w:val="0"/>
              <w:autoSpaceDN w:val="0"/>
              <w:adjustRightInd w:val="0"/>
              <w:jc w:val="center"/>
              <w:rPr>
                <w:rFonts w:ascii="GillSans-Light" w:hAnsi="GillSans-Light" w:cs="GillSans-Light"/>
                <w:sz w:val="24"/>
                <w:szCs w:val="24"/>
              </w:rPr>
            </w:pPr>
            <w:r w:rsidRPr="001A55AA">
              <w:rPr>
                <w:rFonts w:ascii="GillSans-Light" w:hAnsi="GillSans-Light" w:cs="GillSans-Light"/>
                <w:sz w:val="24"/>
                <w:szCs w:val="24"/>
              </w:rPr>
              <w:t>I Remember</w:t>
            </w:r>
          </w:p>
        </w:tc>
        <w:tc>
          <w:tcPr>
            <w:tcW w:w="482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D07" w:rsidRPr="001A55AA" w:rsidRDefault="007F4D07" w:rsidP="007F4D07">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Students are reminded to remember interesting information during a read-aloud. During the reading</w:t>
            </w:r>
          </w:p>
          <w:p w:rsidR="007F4D07" w:rsidRPr="001A55AA" w:rsidRDefault="007F4D07" w:rsidP="007F4D07">
            <w:pPr>
              <w:autoSpaceDE w:val="0"/>
              <w:autoSpaceDN w:val="0"/>
              <w:adjustRightInd w:val="0"/>
              <w:rPr>
                <w:rFonts w:ascii="GillSans-Light" w:hAnsi="GillSans-Light" w:cs="GillSans-Light"/>
                <w:sz w:val="24"/>
                <w:szCs w:val="24"/>
              </w:rPr>
            </w:pPr>
            <w:r w:rsidRPr="001A55AA">
              <w:rPr>
                <w:rFonts w:ascii="GillSans-Light" w:hAnsi="GillSans-Light" w:cs="GillSans-Light"/>
                <w:sz w:val="24"/>
                <w:szCs w:val="24"/>
              </w:rPr>
              <w:t>stop and pause and students share what they remembered from the text.</w:t>
            </w:r>
          </w:p>
        </w:tc>
        <w:tc>
          <w:tcPr>
            <w:tcW w:w="2210" w:type="dxa"/>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FFFFFF" w:themeFill="background1"/>
          </w:tcPr>
          <w:p w:rsidR="007F4D07" w:rsidRPr="001A55AA" w:rsidRDefault="007F4D07" w:rsidP="007F4D07">
            <w:pPr>
              <w:autoSpaceDE w:val="0"/>
              <w:autoSpaceDN w:val="0"/>
              <w:adjustRightInd w:val="0"/>
              <w:rPr>
                <w:rFonts w:ascii="GillSans-LightItalic" w:hAnsi="GillSans-LightItalic" w:cs="GillSans-LightItalic"/>
                <w:i/>
                <w:iCs/>
                <w:sz w:val="24"/>
                <w:szCs w:val="24"/>
              </w:rPr>
            </w:pPr>
            <w:r w:rsidRPr="001A55AA">
              <w:rPr>
                <w:rFonts w:ascii="GillSans-LightItalic" w:hAnsi="GillSans-LightItalic" w:cs="GillSans-LightItalic"/>
                <w:i/>
                <w:iCs/>
                <w:sz w:val="24"/>
                <w:szCs w:val="24"/>
              </w:rPr>
              <w:t>Revisit, Reflect, Retell</w:t>
            </w:r>
          </w:p>
          <w:p w:rsidR="007F4D07" w:rsidRPr="001A55AA" w:rsidRDefault="007F4D07" w:rsidP="007F4D07">
            <w:pPr>
              <w:autoSpaceDE w:val="0"/>
              <w:autoSpaceDN w:val="0"/>
              <w:adjustRightInd w:val="0"/>
              <w:rPr>
                <w:rFonts w:ascii="GillSans-LightItalic" w:hAnsi="GillSans-LightItalic" w:cs="GillSans-LightItalic"/>
                <w:i/>
                <w:iCs/>
                <w:sz w:val="24"/>
                <w:szCs w:val="24"/>
              </w:rPr>
            </w:pPr>
            <w:r w:rsidRPr="001A55AA">
              <w:rPr>
                <w:rFonts w:ascii="GillSans-Light" w:hAnsi="GillSans-Light" w:cs="GillSans-Light"/>
                <w:sz w:val="24"/>
                <w:szCs w:val="24"/>
              </w:rPr>
              <w:t>(p. 22)</w:t>
            </w:r>
          </w:p>
        </w:tc>
      </w:tr>
    </w:tbl>
    <w:p w:rsidR="001F6C71" w:rsidRPr="00322E6E" w:rsidRDefault="001F6C71">
      <w:pPr>
        <w:rPr>
          <w:sz w:val="24"/>
          <w:szCs w:val="24"/>
        </w:rPr>
      </w:pPr>
      <w:bookmarkStart w:id="0" w:name="_GoBack"/>
      <w:bookmarkEnd w:id="0"/>
    </w:p>
    <w:sectPr w:rsidR="001F6C71" w:rsidRPr="00322E6E" w:rsidSect="00322E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22E6E"/>
    <w:rsid w:val="000229FB"/>
    <w:rsid w:val="0002403B"/>
    <w:rsid w:val="00026A89"/>
    <w:rsid w:val="00037704"/>
    <w:rsid w:val="00094286"/>
    <w:rsid w:val="000A31CC"/>
    <w:rsid w:val="000C31AC"/>
    <w:rsid w:val="0012341C"/>
    <w:rsid w:val="0013003E"/>
    <w:rsid w:val="00130ACA"/>
    <w:rsid w:val="00133D5F"/>
    <w:rsid w:val="001542A3"/>
    <w:rsid w:val="001A55AA"/>
    <w:rsid w:val="001B190A"/>
    <w:rsid w:val="001C3DED"/>
    <w:rsid w:val="001E7592"/>
    <w:rsid w:val="001F6C71"/>
    <w:rsid w:val="001F7FFD"/>
    <w:rsid w:val="0023072B"/>
    <w:rsid w:val="00243CF4"/>
    <w:rsid w:val="0024612A"/>
    <w:rsid w:val="0026312D"/>
    <w:rsid w:val="00264C02"/>
    <w:rsid w:val="002D2245"/>
    <w:rsid w:val="00322E6E"/>
    <w:rsid w:val="00327DF6"/>
    <w:rsid w:val="0033708B"/>
    <w:rsid w:val="0036260F"/>
    <w:rsid w:val="00371ECD"/>
    <w:rsid w:val="0039326C"/>
    <w:rsid w:val="003B57D3"/>
    <w:rsid w:val="003B64C0"/>
    <w:rsid w:val="003D282D"/>
    <w:rsid w:val="003F0479"/>
    <w:rsid w:val="00404222"/>
    <w:rsid w:val="004265E4"/>
    <w:rsid w:val="00426727"/>
    <w:rsid w:val="00443F5B"/>
    <w:rsid w:val="004611A7"/>
    <w:rsid w:val="0048433A"/>
    <w:rsid w:val="004A0E41"/>
    <w:rsid w:val="004F52BE"/>
    <w:rsid w:val="0053219D"/>
    <w:rsid w:val="005702ED"/>
    <w:rsid w:val="005B33B0"/>
    <w:rsid w:val="005B45D1"/>
    <w:rsid w:val="005E6E6D"/>
    <w:rsid w:val="005F50AE"/>
    <w:rsid w:val="00601C0E"/>
    <w:rsid w:val="0063752B"/>
    <w:rsid w:val="00696561"/>
    <w:rsid w:val="006B1802"/>
    <w:rsid w:val="006B7A19"/>
    <w:rsid w:val="006C7EBF"/>
    <w:rsid w:val="00727241"/>
    <w:rsid w:val="00742BD3"/>
    <w:rsid w:val="00790679"/>
    <w:rsid w:val="0079532C"/>
    <w:rsid w:val="007B227A"/>
    <w:rsid w:val="007F16F2"/>
    <w:rsid w:val="007F4480"/>
    <w:rsid w:val="007F4D07"/>
    <w:rsid w:val="00801C15"/>
    <w:rsid w:val="00806523"/>
    <w:rsid w:val="00842D48"/>
    <w:rsid w:val="0085344A"/>
    <w:rsid w:val="00856B70"/>
    <w:rsid w:val="008579AD"/>
    <w:rsid w:val="00872604"/>
    <w:rsid w:val="00877CB0"/>
    <w:rsid w:val="0088231B"/>
    <w:rsid w:val="008F2C8B"/>
    <w:rsid w:val="0096725B"/>
    <w:rsid w:val="009922AE"/>
    <w:rsid w:val="009C5C33"/>
    <w:rsid w:val="009F0035"/>
    <w:rsid w:val="00A16742"/>
    <w:rsid w:val="00A604ED"/>
    <w:rsid w:val="00A651E9"/>
    <w:rsid w:val="00AA684D"/>
    <w:rsid w:val="00AB0ACC"/>
    <w:rsid w:val="00AB14FE"/>
    <w:rsid w:val="00B34720"/>
    <w:rsid w:val="00B37056"/>
    <w:rsid w:val="00B60668"/>
    <w:rsid w:val="00BA061F"/>
    <w:rsid w:val="00BB4D79"/>
    <w:rsid w:val="00BD32DF"/>
    <w:rsid w:val="00BE11C8"/>
    <w:rsid w:val="00BF4F12"/>
    <w:rsid w:val="00C0765B"/>
    <w:rsid w:val="00C219D8"/>
    <w:rsid w:val="00C349A5"/>
    <w:rsid w:val="00C43260"/>
    <w:rsid w:val="00C451B7"/>
    <w:rsid w:val="00C76807"/>
    <w:rsid w:val="00C91955"/>
    <w:rsid w:val="00CA5CE2"/>
    <w:rsid w:val="00CC3EC8"/>
    <w:rsid w:val="00CD7969"/>
    <w:rsid w:val="00CF522C"/>
    <w:rsid w:val="00D02937"/>
    <w:rsid w:val="00D17D61"/>
    <w:rsid w:val="00D34C65"/>
    <w:rsid w:val="00D5103F"/>
    <w:rsid w:val="00D60C20"/>
    <w:rsid w:val="00D65171"/>
    <w:rsid w:val="00D702A6"/>
    <w:rsid w:val="00D9145D"/>
    <w:rsid w:val="00D91D1B"/>
    <w:rsid w:val="00D92BEC"/>
    <w:rsid w:val="00DB05BB"/>
    <w:rsid w:val="00DC39DD"/>
    <w:rsid w:val="00DF133F"/>
    <w:rsid w:val="00DF1594"/>
    <w:rsid w:val="00E136E4"/>
    <w:rsid w:val="00E20AC8"/>
    <w:rsid w:val="00E22236"/>
    <w:rsid w:val="00E27636"/>
    <w:rsid w:val="00E52022"/>
    <w:rsid w:val="00E633CF"/>
    <w:rsid w:val="00E85205"/>
    <w:rsid w:val="00E85843"/>
    <w:rsid w:val="00EB4078"/>
    <w:rsid w:val="00EC2C17"/>
    <w:rsid w:val="00ED28F3"/>
    <w:rsid w:val="00EF6BCC"/>
    <w:rsid w:val="00F137FB"/>
    <w:rsid w:val="00F3627E"/>
    <w:rsid w:val="00F83A11"/>
    <w:rsid w:val="00F8600B"/>
    <w:rsid w:val="00F91C69"/>
    <w:rsid w:val="00F92031"/>
    <w:rsid w:val="00FA4459"/>
    <w:rsid w:val="00FC297E"/>
    <w:rsid w:val="00FE6A9A"/>
    <w:rsid w:val="00FF5F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Tryk, Les</dc:creator>
  <cp:lastModifiedBy>Peter Hodges</cp:lastModifiedBy>
  <cp:revision>2</cp:revision>
  <dcterms:created xsi:type="dcterms:W3CDTF">2015-12-20T04:54:00Z</dcterms:created>
  <dcterms:modified xsi:type="dcterms:W3CDTF">2015-12-20T04:54:00Z</dcterms:modified>
</cp:coreProperties>
</file>