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43"/>
        <w:gridCol w:w="1497"/>
        <w:gridCol w:w="5357"/>
        <w:gridCol w:w="1785"/>
      </w:tblGrid>
      <w:tr w:rsidR="00322E6E" w:rsidRPr="00322E6E" w:rsidTr="00C91955">
        <w:tc>
          <w:tcPr>
            <w:tcW w:w="2043" w:type="dxa"/>
            <w:tcBorders>
              <w:bottom w:val="single" w:sz="12" w:space="0" w:color="61F32D"/>
            </w:tcBorders>
            <w:vAlign w:val="center"/>
          </w:tcPr>
          <w:p w:rsidR="00322E6E" w:rsidRPr="00C91955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" w:hAnsi="GillSans" w:cs="GillSans"/>
                <w:b/>
                <w:sz w:val="24"/>
                <w:szCs w:val="24"/>
              </w:rPr>
            </w:pPr>
            <w:r w:rsidRPr="00C91955">
              <w:rPr>
                <w:rFonts w:ascii="GillSans" w:hAnsi="GillSans" w:cs="GillSans"/>
                <w:b/>
                <w:sz w:val="24"/>
                <w:szCs w:val="24"/>
              </w:rPr>
              <w:t>Comprehension</w:t>
            </w:r>
          </w:p>
          <w:p w:rsidR="00322E6E" w:rsidRPr="00C91955" w:rsidRDefault="00322E6E" w:rsidP="00322E6E">
            <w:pPr>
              <w:jc w:val="center"/>
              <w:rPr>
                <w:b/>
                <w:sz w:val="24"/>
                <w:szCs w:val="24"/>
              </w:rPr>
            </w:pPr>
            <w:r w:rsidRPr="00C91955">
              <w:rPr>
                <w:rFonts w:ascii="GillSans" w:hAnsi="GillSans" w:cs="GillSans"/>
                <w:b/>
                <w:sz w:val="24"/>
                <w:szCs w:val="24"/>
              </w:rPr>
              <w:t>strategy</w:t>
            </w:r>
          </w:p>
        </w:tc>
        <w:tc>
          <w:tcPr>
            <w:tcW w:w="1497" w:type="dxa"/>
            <w:tcBorders>
              <w:bottom w:val="single" w:sz="12" w:space="0" w:color="61F32D"/>
            </w:tcBorders>
            <w:vAlign w:val="center"/>
          </w:tcPr>
          <w:p w:rsidR="00322E6E" w:rsidRPr="00C91955" w:rsidRDefault="00322E6E" w:rsidP="00322E6E">
            <w:pPr>
              <w:jc w:val="center"/>
              <w:rPr>
                <w:b/>
                <w:sz w:val="24"/>
                <w:szCs w:val="24"/>
              </w:rPr>
            </w:pPr>
            <w:r w:rsidRPr="00C91955">
              <w:rPr>
                <w:rFonts w:ascii="GillSans" w:hAnsi="GillSans" w:cs="GillSans"/>
                <w:b/>
                <w:sz w:val="24"/>
                <w:szCs w:val="24"/>
              </w:rPr>
              <w:t>Teaching ideas</w:t>
            </w:r>
          </w:p>
        </w:tc>
        <w:tc>
          <w:tcPr>
            <w:tcW w:w="5357" w:type="dxa"/>
            <w:tcBorders>
              <w:bottom w:val="single" w:sz="12" w:space="0" w:color="61F32D"/>
            </w:tcBorders>
            <w:vAlign w:val="center"/>
          </w:tcPr>
          <w:p w:rsidR="00322E6E" w:rsidRPr="00C91955" w:rsidRDefault="00322E6E" w:rsidP="00322E6E">
            <w:pPr>
              <w:jc w:val="center"/>
              <w:rPr>
                <w:b/>
                <w:sz w:val="24"/>
                <w:szCs w:val="24"/>
              </w:rPr>
            </w:pPr>
            <w:r w:rsidRPr="00C91955">
              <w:rPr>
                <w:rFonts w:ascii="GillSans" w:hAnsi="GillSans" w:cs="GillSans"/>
                <w:b/>
                <w:sz w:val="24"/>
                <w:szCs w:val="24"/>
              </w:rPr>
              <w:t>Description</w:t>
            </w:r>
          </w:p>
        </w:tc>
        <w:tc>
          <w:tcPr>
            <w:tcW w:w="1785" w:type="dxa"/>
            <w:tcBorders>
              <w:bottom w:val="single" w:sz="12" w:space="0" w:color="61F32D"/>
            </w:tcBorders>
            <w:vAlign w:val="center"/>
          </w:tcPr>
          <w:p w:rsidR="00322E6E" w:rsidRPr="00C91955" w:rsidRDefault="00322E6E" w:rsidP="00322E6E">
            <w:pPr>
              <w:jc w:val="center"/>
              <w:rPr>
                <w:b/>
                <w:sz w:val="24"/>
                <w:szCs w:val="24"/>
              </w:rPr>
            </w:pPr>
            <w:r w:rsidRPr="00C91955">
              <w:rPr>
                <w:rFonts w:ascii="GillSans-Italic" w:hAnsi="GillSans-Italic" w:cs="GillSans-Italic"/>
                <w:b/>
                <w:i/>
                <w:iCs/>
                <w:sz w:val="24"/>
                <w:szCs w:val="24"/>
              </w:rPr>
              <w:t>Reference</w:t>
            </w:r>
          </w:p>
        </w:tc>
      </w:tr>
      <w:tr w:rsidR="00322E6E" w:rsidRPr="00322E6E" w:rsidTr="00C91955">
        <w:tc>
          <w:tcPr>
            <w:tcW w:w="2043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  <w:shd w:val="clear" w:color="auto" w:fill="61F32D"/>
            <w:vAlign w:val="center"/>
          </w:tcPr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Making connections</w:t>
            </w:r>
          </w:p>
        </w:tc>
        <w:tc>
          <w:tcPr>
            <w:tcW w:w="149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Coding Strategy</w:t>
            </w:r>
          </w:p>
        </w:tc>
        <w:tc>
          <w:tcPr>
            <w:tcW w:w="535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As students read, they stop at each sentence or</w:t>
            </w:r>
            <w:r w:rsidR="003056DA">
              <w:rPr>
                <w:rFonts w:ascii="GillSans-Light" w:hAnsi="GillSans-Light" w:cs="GillSans-Light"/>
                <w:sz w:val="24"/>
                <w:szCs w:val="24"/>
              </w:rPr>
              <w:t xml:space="preserve">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paragraph and in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dicate their reactions to their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reading by using symbo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l codes to represent (I already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knew this, new information, wow, I don’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t understand).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After coding, stude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nts find a partner to share and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compare codes and justify their codes.</w:t>
            </w:r>
          </w:p>
        </w:tc>
        <w:tc>
          <w:tcPr>
            <w:tcW w:w="1785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Revisit, Reflect, Retell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(pp. 176–177)</w:t>
            </w:r>
          </w:p>
        </w:tc>
      </w:tr>
      <w:tr w:rsidR="00322E6E" w:rsidRPr="00322E6E" w:rsidTr="00C91955">
        <w:tc>
          <w:tcPr>
            <w:tcW w:w="2043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Memorable</w:t>
            </w:r>
          </w:p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Moments</w:t>
            </w:r>
          </w:p>
        </w:tc>
        <w:tc>
          <w:tcPr>
            <w:tcW w:w="535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Before reading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 a story, students anticipate a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memorable moment. W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hen they finish the story, they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reflect on the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 most memorable moment and note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 xml:space="preserve">another moment. 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Students take down a quote from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the story.</w:t>
            </w:r>
          </w:p>
        </w:tc>
        <w:tc>
          <w:tcPr>
            <w:tcW w:w="1785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Revisit, Reflect, Retell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(p. 52)</w:t>
            </w:r>
          </w:p>
        </w:tc>
      </w:tr>
      <w:tr w:rsidR="00322E6E" w:rsidRPr="00322E6E" w:rsidTr="00C91955">
        <w:tc>
          <w:tcPr>
            <w:tcW w:w="2043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Connection</w:t>
            </w:r>
          </w:p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stems</w:t>
            </w:r>
          </w:p>
        </w:tc>
        <w:tc>
          <w:tcPr>
            <w:tcW w:w="5357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After readin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g a section of text aloud, show students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 xml:space="preserve">a sentence stem, e.g. </w:t>
            </w: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 xml:space="preserve">That reminds me of … 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and think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aloud about the pro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cess you use for completing it.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For support use the text</w:t>
            </w:r>
            <w:r>
              <w:rPr>
                <w:rFonts w:ascii="GillSans-Light" w:hAnsi="GillSans-Light" w:cs="GillSans-Light"/>
                <w:sz w:val="24"/>
                <w:szCs w:val="24"/>
              </w:rPr>
              <w:t xml:space="preserve">-self, text-text, or text-world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connection.</w:t>
            </w:r>
          </w:p>
        </w:tc>
        <w:tc>
          <w:tcPr>
            <w:tcW w:w="1785" w:type="dxa"/>
            <w:tcBorders>
              <w:top w:val="single" w:sz="12" w:space="0" w:color="61F32D"/>
              <w:left w:val="single" w:sz="12" w:space="0" w:color="61F32D"/>
              <w:bottom w:val="single" w:sz="12" w:space="0" w:color="61F32D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Guided Comprehension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in grades 3–8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(p. 202)</w:t>
            </w:r>
          </w:p>
        </w:tc>
      </w:tr>
      <w:tr w:rsidR="00C91955" w:rsidRPr="00322E6E" w:rsidTr="00C91955">
        <w:tc>
          <w:tcPr>
            <w:tcW w:w="2043" w:type="dxa"/>
            <w:tcBorders>
              <w:top w:val="single" w:sz="12" w:space="0" w:color="61F32D"/>
              <w:left w:val="single" w:sz="12" w:space="0" w:color="61F32D"/>
              <w:bottom w:val="single" w:sz="12" w:space="0" w:color="00B0F0"/>
              <w:right w:val="single" w:sz="12" w:space="0" w:color="61F32D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61F32D"/>
              <w:left w:val="single" w:sz="12" w:space="0" w:color="61F32D"/>
              <w:bottom w:val="single" w:sz="12" w:space="0" w:color="00B0F0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Double-Entry</w:t>
            </w:r>
          </w:p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Journal</w:t>
            </w:r>
          </w:p>
        </w:tc>
        <w:tc>
          <w:tcPr>
            <w:tcW w:w="5357" w:type="dxa"/>
            <w:tcBorders>
              <w:top w:val="single" w:sz="12" w:space="0" w:color="61F32D"/>
              <w:left w:val="single" w:sz="12" w:space="0" w:color="61F32D"/>
              <w:bottom w:val="single" w:sz="12" w:space="0" w:color="00B0F0"/>
              <w:right w:val="single" w:sz="12" w:space="0" w:color="61F32D"/>
            </w:tcBorders>
          </w:tcPr>
          <w:p w:rsidR="00322E6E" w:rsidRPr="00C91955" w:rsidRDefault="00322E6E" w:rsidP="00C91955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Distribute copies o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f the journal. Students read or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 xml:space="preserve">listen to a text. Ask 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students to select a key event,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idea, word, qu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ote or concept from the text to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note down in the left hand side of the journal. Ask</w:t>
            </w:r>
            <w:r w:rsidR="003056DA">
              <w:rPr>
                <w:rFonts w:ascii="GillSans-Light" w:hAnsi="GillSans-Light" w:cs="GillSans-Light"/>
                <w:sz w:val="24"/>
                <w:szCs w:val="24"/>
              </w:rPr>
              <w:t xml:space="preserve">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 xml:space="preserve">students to write 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their response or connection to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the item in the left column.</w:t>
            </w:r>
          </w:p>
        </w:tc>
        <w:tc>
          <w:tcPr>
            <w:tcW w:w="1785" w:type="dxa"/>
            <w:tcBorders>
              <w:top w:val="single" w:sz="12" w:space="0" w:color="61F32D"/>
              <w:left w:val="single" w:sz="12" w:space="0" w:color="61F32D"/>
              <w:bottom w:val="single" w:sz="12" w:space="0" w:color="00B0F0"/>
              <w:right w:val="single" w:sz="12" w:space="0" w:color="61F32D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Guided Comprehension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in grades 3–8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(p. 203)</w:t>
            </w:r>
          </w:p>
        </w:tc>
      </w:tr>
      <w:tr w:rsidR="00C91955" w:rsidRPr="00322E6E" w:rsidTr="00C91955">
        <w:tc>
          <w:tcPr>
            <w:tcW w:w="20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322E6E" w:rsidRPr="00322E6E" w:rsidRDefault="00322E6E" w:rsidP="00C91955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Questioning</w:t>
            </w:r>
          </w:p>
        </w:tc>
        <w:tc>
          <w:tcPr>
            <w:tcW w:w="149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Stimulating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Discussion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Through</w:t>
            </w:r>
          </w:p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Questions</w:t>
            </w:r>
          </w:p>
        </w:tc>
        <w:tc>
          <w:tcPr>
            <w:tcW w:w="535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C91955" w:rsidRDefault="00322E6E" w:rsidP="00C91955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Personal question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s readers generate about a text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stimulate connections, represent in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ferences, activate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prior knowledge, and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 help to clarify understanding.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 xml:space="preserve">Guide students in 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generating questions and assist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them in generation q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uestions and responses that are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aesthetic, efferent, and critical/analytical.</w:t>
            </w:r>
          </w:p>
        </w:tc>
        <w:tc>
          <w:tcPr>
            <w:tcW w:w="17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Revisit, Reflect, Retell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(pp. 46–47)</w:t>
            </w:r>
          </w:p>
        </w:tc>
        <w:bookmarkStart w:id="0" w:name="_GoBack"/>
        <w:bookmarkEnd w:id="0"/>
      </w:tr>
      <w:tr w:rsidR="00322E6E" w:rsidRPr="00322E6E" w:rsidTr="00C91955">
        <w:tc>
          <w:tcPr>
            <w:tcW w:w="20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Questioning</w:t>
            </w:r>
          </w:p>
        </w:tc>
        <w:tc>
          <w:tcPr>
            <w:tcW w:w="535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C91955" w:rsidRDefault="00322E6E" w:rsidP="00C91955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Preview a text. Read tit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les, subheadings, and the table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of contents. Look at im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ages. Read the first paragraph.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Create an “I wonder”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 question. Read the text to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answer your que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stion. Repeat again and draw to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show the most important ideas you learned.</w:t>
            </w:r>
          </w:p>
        </w:tc>
        <w:tc>
          <w:tcPr>
            <w:tcW w:w="17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Revisit, Reflect, Retell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(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pp. 182–183)</w:t>
            </w:r>
          </w:p>
        </w:tc>
      </w:tr>
      <w:tr w:rsidR="00322E6E" w:rsidRPr="00322E6E" w:rsidTr="00C91955">
        <w:tc>
          <w:tcPr>
            <w:tcW w:w="20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Magic Jigsaw: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jc w:val="center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A Questioning</w:t>
            </w:r>
          </w:p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Strategy</w:t>
            </w:r>
          </w:p>
        </w:tc>
        <w:tc>
          <w:tcPr>
            <w:tcW w:w="535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Create a magic jigsaw with each piece containing</w:t>
            </w:r>
            <w:r w:rsidR="003056DA">
              <w:rPr>
                <w:rFonts w:ascii="GillSans-Light" w:hAnsi="GillSans-Light" w:cs="GillSans-Light"/>
                <w:sz w:val="24"/>
                <w:szCs w:val="24"/>
              </w:rPr>
              <w:t xml:space="preserve">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a question. Question themes could include a post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 reading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summary: to show case questions, before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reading: to profile questions that guide research,</w:t>
            </w:r>
          </w:p>
          <w:p w:rsidR="00322E6E" w:rsidRPr="00C91955" w:rsidRDefault="00322E6E" w:rsidP="00C91955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during reading: t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o collect questions that remain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unanswered and need further research.</w:t>
            </w:r>
          </w:p>
        </w:tc>
        <w:tc>
          <w:tcPr>
            <w:tcW w:w="17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Revisit, Reflect, Retell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(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pp. 188–189)</w:t>
            </w:r>
          </w:p>
        </w:tc>
      </w:tr>
      <w:tr w:rsidR="00322E6E" w:rsidRPr="00322E6E" w:rsidTr="00C91955">
        <w:tc>
          <w:tcPr>
            <w:tcW w:w="20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jc w:val="center"/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I Wonder</w:t>
            </w:r>
          </w:p>
        </w:tc>
        <w:tc>
          <w:tcPr>
            <w:tcW w:w="535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Guide students t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o wonder about the world, their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lives, story events, and ideas presented in texts.</w:t>
            </w:r>
          </w:p>
          <w:p w:rsidR="00322E6E" w:rsidRPr="00C91955" w:rsidRDefault="00322E6E" w:rsidP="00C91955">
            <w:pPr>
              <w:autoSpaceDE w:val="0"/>
              <w:autoSpaceDN w:val="0"/>
              <w:adjustRightInd w:val="0"/>
              <w:rPr>
                <w:rFonts w:ascii="GillSans-Light" w:hAnsi="GillSans-Light" w:cs="GillSans-Light"/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Encourage st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udents to wonder throughout the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reading of a text. Use students’ ‘I wonder’</w:t>
            </w:r>
            <w:r w:rsidR="00C91955">
              <w:rPr>
                <w:rFonts w:ascii="GillSans-Light" w:hAnsi="GillSans-Light" w:cs="GillSans-Light"/>
                <w:sz w:val="24"/>
                <w:szCs w:val="24"/>
              </w:rPr>
              <w:t xml:space="preserve"> statements </w:t>
            </w:r>
            <w:r w:rsidRPr="00322E6E">
              <w:rPr>
                <w:rFonts w:ascii="GillSans-Light" w:hAnsi="GillSans-Light" w:cs="GillSans-Light"/>
                <w:sz w:val="24"/>
                <w:szCs w:val="24"/>
              </w:rPr>
              <w:t>to provide structure for further reading.</w:t>
            </w:r>
          </w:p>
        </w:tc>
        <w:tc>
          <w:tcPr>
            <w:tcW w:w="178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Guided Comprehension</w:t>
            </w:r>
          </w:p>
          <w:p w:rsidR="00322E6E" w:rsidRPr="00322E6E" w:rsidRDefault="00322E6E" w:rsidP="00322E6E">
            <w:pPr>
              <w:autoSpaceDE w:val="0"/>
              <w:autoSpaceDN w:val="0"/>
              <w:adjustRightInd w:val="0"/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</w:pPr>
            <w:r w:rsidRPr="00322E6E">
              <w:rPr>
                <w:rFonts w:ascii="GillSans-LightItalic" w:hAnsi="GillSans-LightItalic" w:cs="GillSans-LightItalic"/>
                <w:i/>
                <w:iCs/>
                <w:sz w:val="24"/>
                <w:szCs w:val="24"/>
              </w:rPr>
              <w:t>in grades 3–8</w:t>
            </w:r>
          </w:p>
          <w:p w:rsidR="00322E6E" w:rsidRPr="00322E6E" w:rsidRDefault="00322E6E" w:rsidP="00322E6E">
            <w:pPr>
              <w:rPr>
                <w:sz w:val="24"/>
                <w:szCs w:val="24"/>
              </w:rPr>
            </w:pPr>
            <w:r w:rsidRPr="00322E6E">
              <w:rPr>
                <w:rFonts w:ascii="GillSans-Light" w:hAnsi="GillSans-Light" w:cs="GillSans-Light"/>
                <w:sz w:val="24"/>
                <w:szCs w:val="24"/>
              </w:rPr>
              <w:t>(pp. 197)</w:t>
            </w:r>
          </w:p>
        </w:tc>
      </w:tr>
    </w:tbl>
    <w:p w:rsidR="001F6C71" w:rsidRPr="00322E6E" w:rsidRDefault="001F6C71">
      <w:pPr>
        <w:rPr>
          <w:sz w:val="24"/>
          <w:szCs w:val="24"/>
        </w:rPr>
      </w:pPr>
    </w:p>
    <w:sectPr w:rsidR="001F6C71" w:rsidRPr="00322E6E" w:rsidSect="00322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22E6E"/>
    <w:rsid w:val="000229FB"/>
    <w:rsid w:val="0002403B"/>
    <w:rsid w:val="00026A89"/>
    <w:rsid w:val="00037704"/>
    <w:rsid w:val="00094286"/>
    <w:rsid w:val="000A31CC"/>
    <w:rsid w:val="000C31AC"/>
    <w:rsid w:val="0012341C"/>
    <w:rsid w:val="0013003E"/>
    <w:rsid w:val="00130ACA"/>
    <w:rsid w:val="00133D5F"/>
    <w:rsid w:val="001542A3"/>
    <w:rsid w:val="001B190A"/>
    <w:rsid w:val="001C3DED"/>
    <w:rsid w:val="001E7592"/>
    <w:rsid w:val="001F6C71"/>
    <w:rsid w:val="001F7FFD"/>
    <w:rsid w:val="0023072B"/>
    <w:rsid w:val="00243CF4"/>
    <w:rsid w:val="0024612A"/>
    <w:rsid w:val="0026312D"/>
    <w:rsid w:val="00264C02"/>
    <w:rsid w:val="002775CE"/>
    <w:rsid w:val="002D2245"/>
    <w:rsid w:val="003056DA"/>
    <w:rsid w:val="00322E6E"/>
    <w:rsid w:val="00327DF6"/>
    <w:rsid w:val="0033708B"/>
    <w:rsid w:val="0036260F"/>
    <w:rsid w:val="00371ECD"/>
    <w:rsid w:val="0039326C"/>
    <w:rsid w:val="003B57D3"/>
    <w:rsid w:val="003B64C0"/>
    <w:rsid w:val="003D282D"/>
    <w:rsid w:val="003F0479"/>
    <w:rsid w:val="00404222"/>
    <w:rsid w:val="004265E4"/>
    <w:rsid w:val="00426727"/>
    <w:rsid w:val="00443F5B"/>
    <w:rsid w:val="004611A7"/>
    <w:rsid w:val="0048433A"/>
    <w:rsid w:val="004A0E41"/>
    <w:rsid w:val="004F52BE"/>
    <w:rsid w:val="0053219D"/>
    <w:rsid w:val="005702ED"/>
    <w:rsid w:val="005B45D1"/>
    <w:rsid w:val="005E6E6D"/>
    <w:rsid w:val="005F50AE"/>
    <w:rsid w:val="00601C0E"/>
    <w:rsid w:val="0063752B"/>
    <w:rsid w:val="00696561"/>
    <w:rsid w:val="006B1802"/>
    <w:rsid w:val="006B7A19"/>
    <w:rsid w:val="006C7EBF"/>
    <w:rsid w:val="00727241"/>
    <w:rsid w:val="00742BD3"/>
    <w:rsid w:val="00790679"/>
    <w:rsid w:val="0079532C"/>
    <w:rsid w:val="007B227A"/>
    <w:rsid w:val="007C1D0E"/>
    <w:rsid w:val="007F16F2"/>
    <w:rsid w:val="008019E5"/>
    <w:rsid w:val="00801C15"/>
    <w:rsid w:val="00806523"/>
    <w:rsid w:val="00842D48"/>
    <w:rsid w:val="0085344A"/>
    <w:rsid w:val="00856B70"/>
    <w:rsid w:val="008579AD"/>
    <w:rsid w:val="00872604"/>
    <w:rsid w:val="00877CB0"/>
    <w:rsid w:val="0088231B"/>
    <w:rsid w:val="008F2C8B"/>
    <w:rsid w:val="0096725B"/>
    <w:rsid w:val="009922AE"/>
    <w:rsid w:val="009C5C33"/>
    <w:rsid w:val="009F0035"/>
    <w:rsid w:val="00A16742"/>
    <w:rsid w:val="00A604ED"/>
    <w:rsid w:val="00A651E9"/>
    <w:rsid w:val="00AA684D"/>
    <w:rsid w:val="00AB0ACC"/>
    <w:rsid w:val="00AB14FE"/>
    <w:rsid w:val="00B34720"/>
    <w:rsid w:val="00B37056"/>
    <w:rsid w:val="00B60668"/>
    <w:rsid w:val="00BA061F"/>
    <w:rsid w:val="00BB4D79"/>
    <w:rsid w:val="00BD32DF"/>
    <w:rsid w:val="00BF4F12"/>
    <w:rsid w:val="00C0765B"/>
    <w:rsid w:val="00C219D8"/>
    <w:rsid w:val="00C349A5"/>
    <w:rsid w:val="00C43260"/>
    <w:rsid w:val="00C451B7"/>
    <w:rsid w:val="00C76807"/>
    <w:rsid w:val="00C91955"/>
    <w:rsid w:val="00CA5CE2"/>
    <w:rsid w:val="00CC3EC8"/>
    <w:rsid w:val="00CD7969"/>
    <w:rsid w:val="00CF522C"/>
    <w:rsid w:val="00D02937"/>
    <w:rsid w:val="00D17D61"/>
    <w:rsid w:val="00D34C65"/>
    <w:rsid w:val="00D5103F"/>
    <w:rsid w:val="00D60C20"/>
    <w:rsid w:val="00D65171"/>
    <w:rsid w:val="00D702A6"/>
    <w:rsid w:val="00D9145D"/>
    <w:rsid w:val="00D91D1B"/>
    <w:rsid w:val="00D92BEC"/>
    <w:rsid w:val="00DB05BB"/>
    <w:rsid w:val="00DC39DD"/>
    <w:rsid w:val="00DF133F"/>
    <w:rsid w:val="00DF1594"/>
    <w:rsid w:val="00E136E4"/>
    <w:rsid w:val="00E20AC8"/>
    <w:rsid w:val="00E22236"/>
    <w:rsid w:val="00E27636"/>
    <w:rsid w:val="00E52022"/>
    <w:rsid w:val="00E633CF"/>
    <w:rsid w:val="00E85205"/>
    <w:rsid w:val="00E85843"/>
    <w:rsid w:val="00EB4078"/>
    <w:rsid w:val="00EC2C17"/>
    <w:rsid w:val="00ED28F3"/>
    <w:rsid w:val="00EF6BCC"/>
    <w:rsid w:val="00F137FB"/>
    <w:rsid w:val="00F3627E"/>
    <w:rsid w:val="00F83A11"/>
    <w:rsid w:val="00F8600B"/>
    <w:rsid w:val="00F91C69"/>
    <w:rsid w:val="00F92031"/>
    <w:rsid w:val="00FA4459"/>
    <w:rsid w:val="00FC297E"/>
    <w:rsid w:val="00FE6A9A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Tryk, Les</dc:creator>
  <cp:lastModifiedBy>Peter Hodges</cp:lastModifiedBy>
  <cp:revision>2</cp:revision>
  <dcterms:created xsi:type="dcterms:W3CDTF">2015-12-20T04:53:00Z</dcterms:created>
  <dcterms:modified xsi:type="dcterms:W3CDTF">2015-12-20T04:53:00Z</dcterms:modified>
</cp:coreProperties>
</file>